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FBBD" w14:textId="674EC0C6" w:rsidR="001D4CB1" w:rsidRPr="00E16FF1" w:rsidRDefault="001D4CB1" w:rsidP="001D4CB1">
      <w:pPr>
        <w:shd w:val="clear" w:color="auto" w:fill="FFFFFF"/>
        <w:spacing w:before="100" w:beforeAutospacing="1" w:after="0" w:line="240" w:lineRule="auto"/>
        <w:ind w:left="720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b/>
          <w:bCs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Regulamin organizacyjny</w:t>
      </w:r>
      <w:r w:rsidRPr="00E16FF1">
        <w:rPr>
          <w:rFonts w:asciiTheme="majorHAnsi" w:hAnsiTheme="majorHAnsi" w:cstheme="majorHAnsi"/>
          <w:sz w:val="18"/>
          <w:szCs w:val="18"/>
          <w:shd w:val="clear" w:color="auto" w:fill="F2F2F2"/>
        </w:rPr>
        <w:t xml:space="preserve"> </w:t>
      </w:r>
      <w:r w:rsidRPr="00E16FF1">
        <w:rPr>
          <w:rFonts w:asciiTheme="majorHAnsi" w:hAnsiTheme="majorHAnsi" w:cstheme="majorHAnsi"/>
          <w:sz w:val="28"/>
          <w:szCs w:val="28"/>
          <w:shd w:val="clear" w:color="auto" w:fill="F2F2F2"/>
        </w:rPr>
        <w:t>CENTRUM MEDYCZN</w:t>
      </w:r>
      <w:r w:rsidRPr="00E16FF1">
        <w:rPr>
          <w:rFonts w:asciiTheme="majorHAnsi" w:hAnsiTheme="majorHAnsi" w:cstheme="majorHAnsi"/>
          <w:sz w:val="28"/>
          <w:szCs w:val="28"/>
          <w:shd w:val="clear" w:color="auto" w:fill="F2F2F2"/>
        </w:rPr>
        <w:t xml:space="preserve">EGO </w:t>
      </w:r>
      <w:r w:rsidRPr="00E16FF1">
        <w:rPr>
          <w:rFonts w:asciiTheme="majorHAnsi" w:hAnsiTheme="majorHAnsi" w:cstheme="majorHAnsi"/>
          <w:sz w:val="28"/>
          <w:szCs w:val="28"/>
          <w:shd w:val="clear" w:color="auto" w:fill="F2F2F2"/>
        </w:rPr>
        <w:t xml:space="preserve"> ANMED S.C. ANNA KĘDRA, ANNA PIKUŁA</w:t>
      </w:r>
      <w:r w:rsidRPr="00E16FF1">
        <w:rPr>
          <w:rFonts w:asciiTheme="majorHAnsi" w:hAnsiTheme="majorHAnsi" w:cstheme="majorHAnsi"/>
          <w:sz w:val="28"/>
          <w:szCs w:val="28"/>
          <w:shd w:val="clear" w:color="auto" w:fill="F2F2F2"/>
        </w:rPr>
        <w:t xml:space="preserve">, </w:t>
      </w:r>
      <w:r w:rsidRPr="00E16FF1">
        <w:rPr>
          <w:rFonts w:asciiTheme="majorHAnsi" w:hAnsiTheme="majorHAnsi" w:cstheme="majorHAnsi"/>
          <w:sz w:val="18"/>
          <w:szCs w:val="18"/>
          <w:shd w:val="clear" w:color="auto" w:fill="F2F2F2"/>
        </w:rPr>
        <w:t xml:space="preserve">będącego </w:t>
      </w:r>
      <w:r w:rsidRPr="001D4CB1">
        <w:rPr>
          <w:rFonts w:asciiTheme="majorHAnsi" w:eastAsia="Times New Roman" w:hAnsiTheme="majorHAnsi" w:cstheme="majorHAnsi"/>
          <w:b/>
          <w:bCs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 podmiot</w:t>
      </w:r>
      <w:r w:rsidRPr="00E16FF1">
        <w:rPr>
          <w:rFonts w:asciiTheme="majorHAnsi" w:eastAsia="Times New Roman" w:hAnsiTheme="majorHAnsi" w:cstheme="majorHAnsi"/>
          <w:b/>
          <w:bCs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em</w:t>
      </w:r>
      <w:r w:rsidRPr="001D4CB1">
        <w:rPr>
          <w:rFonts w:asciiTheme="majorHAnsi" w:eastAsia="Times New Roman" w:hAnsiTheme="majorHAnsi" w:cstheme="majorHAnsi"/>
          <w:b/>
          <w:bCs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 xml:space="preserve"> lecznicz</w:t>
      </w:r>
      <w:r w:rsidRPr="00E16FF1">
        <w:rPr>
          <w:rFonts w:asciiTheme="majorHAnsi" w:eastAsia="Times New Roman" w:hAnsiTheme="majorHAnsi" w:cstheme="majorHAnsi"/>
          <w:b/>
          <w:bCs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 xml:space="preserve">ym </w:t>
      </w:r>
      <w:r w:rsidRPr="001D4CB1">
        <w:rPr>
          <w:rFonts w:asciiTheme="majorHAnsi" w:eastAsia="Times New Roman" w:hAnsiTheme="majorHAnsi" w:cstheme="majorHAnsi"/>
          <w:b/>
          <w:bCs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 xml:space="preserve"> wykonując</w:t>
      </w:r>
      <w:r w:rsidRPr="00E16FF1">
        <w:rPr>
          <w:rFonts w:asciiTheme="majorHAnsi" w:eastAsia="Times New Roman" w:hAnsiTheme="majorHAnsi" w:cstheme="majorHAnsi"/>
          <w:b/>
          <w:bCs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ym</w:t>
      </w:r>
      <w:r w:rsidRPr="001D4CB1">
        <w:rPr>
          <w:rFonts w:asciiTheme="majorHAnsi" w:eastAsia="Times New Roman" w:hAnsiTheme="majorHAnsi" w:cstheme="majorHAnsi"/>
          <w:b/>
          <w:bCs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 xml:space="preserve"> działalność </w:t>
      </w:r>
      <w:r w:rsidRPr="00E16FF1">
        <w:rPr>
          <w:rFonts w:asciiTheme="majorHAnsi" w:eastAsia="Times New Roman" w:hAnsiTheme="majorHAnsi" w:cstheme="majorHAnsi"/>
          <w:b/>
          <w:bCs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medyczną</w:t>
      </w:r>
    </w:p>
    <w:p w14:paraId="4BE391BC" w14:textId="77777777" w:rsidR="001D4CB1" w:rsidRPr="001D4CB1" w:rsidRDefault="001D4CB1" w:rsidP="001D4CB1">
      <w:pPr>
        <w:shd w:val="clear" w:color="auto" w:fill="FFFFFF"/>
        <w:spacing w:before="100" w:beforeAutospacing="1" w:after="0" w:line="240" w:lineRule="auto"/>
        <w:ind w:left="720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</w:p>
    <w:p w14:paraId="72A464F0" w14:textId="77777777" w:rsidR="001D4CB1" w:rsidRPr="001D4CB1" w:rsidRDefault="001D4CB1" w:rsidP="001D4CB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b/>
          <w:bCs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I. Postanowienia</w:t>
      </w:r>
    </w:p>
    <w:p w14:paraId="27C13EE1" w14:textId="5BCBC73E" w:rsidR="001D4CB1" w:rsidRPr="001D4CB1" w:rsidRDefault="001D4CB1" w:rsidP="001D4CB1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E16FF1">
        <w:rPr>
          <w:rFonts w:asciiTheme="majorHAnsi" w:hAnsiTheme="majorHAnsi" w:cstheme="majorHAnsi"/>
          <w:sz w:val="18"/>
          <w:szCs w:val="18"/>
          <w:shd w:val="clear" w:color="auto" w:fill="F2F2F2"/>
        </w:rPr>
        <w:t>CENTRUM MEDYCZNE ANMED S.C. ANNA KĘDRA, ANNA PIKUŁA</w:t>
      </w:r>
      <w:r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 </w:t>
      </w: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jest podmiotem leczniczym, działającym na podstawie</w:t>
      </w:r>
    </w:p>
    <w:p w14:paraId="3B960299" w14:textId="77777777" w:rsidR="001D4CB1" w:rsidRPr="001D4CB1" w:rsidRDefault="001D4CB1" w:rsidP="001D4CB1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ustawy z dnia 15 kwietnia 2011r. o działalności leczniczej (Dz. U. Nr 112, poz. 654) i przepisów wydanych na jej podstawie</w:t>
      </w:r>
    </w:p>
    <w:p w14:paraId="04EE7EA7" w14:textId="77777777" w:rsidR="001D4CB1" w:rsidRPr="001D4CB1" w:rsidRDefault="001D4CB1" w:rsidP="001D4CB1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ustawy z dnia 6 listopada 2008 r. o prawach pacjenta i Rzeczniku Praw Pacjenta (Dz.U. z 2009 r. Nr 52, poz. 417 z </w:t>
      </w:r>
      <w:proofErr w:type="spellStart"/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późn</w:t>
      </w:r>
      <w:proofErr w:type="spellEnd"/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. zm.);</w:t>
      </w:r>
    </w:p>
    <w:p w14:paraId="4C7D82B1" w14:textId="77777777" w:rsidR="001D4CB1" w:rsidRPr="001D4CB1" w:rsidRDefault="001D4CB1" w:rsidP="001D4CB1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ustawy z dnia 5 grudnia 1996 r. o zawodach lekarza i lekarza dentysty (Dz.U. z 2008 r., Nr 136, poz. 857 z </w:t>
      </w:r>
      <w:proofErr w:type="spellStart"/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późn</w:t>
      </w:r>
      <w:proofErr w:type="spellEnd"/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. zm.);</w:t>
      </w:r>
    </w:p>
    <w:p w14:paraId="060B98B8" w14:textId="77777777" w:rsidR="001D4CB1" w:rsidRPr="001D4CB1" w:rsidRDefault="001D4CB1" w:rsidP="001D4CB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rozporządzenia Ministra Zdrowia z dnia 21 grudnia 2010 r. w sprawie rodzajów i zakresu dokumentacji medycznej oraz sposobu jej przetwarzania (Dz. U. Nr 252, poz. 1697).</w:t>
      </w:r>
    </w:p>
    <w:p w14:paraId="2B5F4B38" w14:textId="77777777" w:rsidR="001D4CB1" w:rsidRPr="001D4CB1" w:rsidRDefault="001D4CB1" w:rsidP="001D4CB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b/>
          <w:bCs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II. Firma podmiotu leczniczego</w:t>
      </w:r>
    </w:p>
    <w:p w14:paraId="01D56A74" w14:textId="4F0675BD" w:rsidR="001D4CB1" w:rsidRPr="001D4CB1" w:rsidRDefault="001D4CB1" w:rsidP="001D4CB1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Podmiot leczniczy działa pod firmą </w:t>
      </w:r>
      <w:r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:</w:t>
      </w:r>
      <w:r w:rsidRPr="00E16FF1">
        <w:rPr>
          <w:rFonts w:asciiTheme="majorHAnsi" w:hAnsiTheme="majorHAnsi" w:cstheme="majorHAnsi"/>
          <w:sz w:val="18"/>
          <w:szCs w:val="18"/>
          <w:shd w:val="clear" w:color="auto" w:fill="F2F2F2"/>
        </w:rPr>
        <w:t xml:space="preserve"> </w:t>
      </w:r>
      <w:r w:rsidRPr="00E16FF1">
        <w:rPr>
          <w:rFonts w:asciiTheme="majorHAnsi" w:hAnsiTheme="majorHAnsi" w:cstheme="majorHAnsi"/>
          <w:sz w:val="18"/>
          <w:szCs w:val="18"/>
          <w:shd w:val="clear" w:color="auto" w:fill="F2F2F2"/>
        </w:rPr>
        <w:t>CENTRUM MEDYCZNE ANMED S.C. ANNA KĘDRA, ANNA PIKUŁA</w:t>
      </w:r>
    </w:p>
    <w:p w14:paraId="7361A613" w14:textId="30518897" w:rsidR="001D4CB1" w:rsidRPr="001D4CB1" w:rsidRDefault="001D4CB1" w:rsidP="001D4CB1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Nazwa zakładu leczniczego: </w:t>
      </w:r>
      <w:r w:rsidRPr="00E16FF1">
        <w:rPr>
          <w:rFonts w:asciiTheme="majorHAnsi" w:hAnsiTheme="majorHAnsi" w:cstheme="majorHAnsi"/>
          <w:sz w:val="18"/>
          <w:szCs w:val="18"/>
          <w:shd w:val="clear" w:color="auto" w:fill="F2F2F2"/>
        </w:rPr>
        <w:t>NIEPUBLICZNY ZAKŁAD OPIEKI ZDROWOTNEJ CENTRUM MEDYCZNE ANMED ANNA KĘDRA, ANNA PIKUŁA</w:t>
      </w:r>
    </w:p>
    <w:p w14:paraId="042D211E" w14:textId="3B6721AE" w:rsidR="001D4CB1" w:rsidRPr="001D4CB1" w:rsidRDefault="001D4CB1" w:rsidP="001D4CB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Adres</w:t>
      </w:r>
      <w:r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 siedziby</w:t>
      </w: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: ul. </w:t>
      </w:r>
      <w:r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Turniowa7, 20-5636 Lublin</w:t>
      </w:r>
    </w:p>
    <w:p w14:paraId="525C29D4" w14:textId="77777777" w:rsidR="001D4CB1" w:rsidRPr="001D4CB1" w:rsidRDefault="001D4CB1" w:rsidP="001D4CB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b/>
          <w:bCs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III. Cele i zadania podmiotu leczniczego</w:t>
      </w:r>
    </w:p>
    <w:p w14:paraId="34BD911E" w14:textId="1D4A7AF4" w:rsidR="001D4CB1" w:rsidRPr="001D4CB1" w:rsidRDefault="001D4CB1" w:rsidP="001D4CB1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Celem </w:t>
      </w:r>
      <w:r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podmiotu leczniczego</w:t>
      </w:r>
      <w:r w:rsid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 </w:t>
      </w:r>
      <w:r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i </w:t>
      </w: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jest udzielanie ambulatoryjnych świadczeń zdrowotnych w zakresie działań stomatologicznych służących przywróceniu i poprawie zdrowia oraz innych działań medycznych wynikających z procesu leczenia lub przepisów odrębnych regulujących zasady ich wykonywania.</w:t>
      </w:r>
    </w:p>
    <w:p w14:paraId="67750356" w14:textId="724D8D6F" w:rsidR="001D4CB1" w:rsidRPr="001D4CB1" w:rsidRDefault="001D4CB1" w:rsidP="001D4CB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Do zadań </w:t>
      </w:r>
      <w:r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medycznych </w:t>
      </w: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w szczególności należą:</w:t>
      </w:r>
    </w:p>
    <w:p w14:paraId="0F0DF979" w14:textId="77777777" w:rsidR="001D4CB1" w:rsidRPr="001D4CB1" w:rsidRDefault="001D4CB1" w:rsidP="001D4CB1">
      <w:pPr>
        <w:numPr>
          <w:ilvl w:val="1"/>
          <w:numId w:val="5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udzielanie świadczeń zdrowotnych z zakresu stomatologii , w ramach kompetencji lekarza stomatologa oraz higienistki stomatologicznej</w:t>
      </w:r>
    </w:p>
    <w:p w14:paraId="26285AC5" w14:textId="3D1EA661" w:rsidR="001D4CB1" w:rsidRPr="001D4CB1" w:rsidRDefault="001D4CB1" w:rsidP="001D4CB1">
      <w:pPr>
        <w:numPr>
          <w:ilvl w:val="1"/>
          <w:numId w:val="5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udzielanie świadczeń zdrowotnych z zakresu stomatologii zachowawczej z </w:t>
      </w:r>
      <w:proofErr w:type="spellStart"/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endodoncją</w:t>
      </w:r>
      <w:proofErr w:type="spellEnd"/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, stomatologii dziecięcej, protetyki stomatologicznej, periodontologii, chirurgii stomatologicznej </w:t>
      </w:r>
      <w:r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.</w:t>
      </w:r>
    </w:p>
    <w:p w14:paraId="752EF9CD" w14:textId="77777777" w:rsidR="001D4CB1" w:rsidRPr="001D4CB1" w:rsidRDefault="001D4CB1" w:rsidP="001D4CB1">
      <w:pPr>
        <w:numPr>
          <w:ilvl w:val="1"/>
          <w:numId w:val="5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prowadzenie szeroko rozumianej działalności edukacyjnej i informacyjnej a także profilaktycznej</w:t>
      </w:r>
    </w:p>
    <w:p w14:paraId="26321D31" w14:textId="77777777" w:rsidR="001D4CB1" w:rsidRPr="001D4CB1" w:rsidRDefault="001D4CB1" w:rsidP="001D4CB1">
      <w:pPr>
        <w:numPr>
          <w:ilvl w:val="1"/>
          <w:numId w:val="5"/>
        </w:num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współpraca z innymi jednostkami służby zdrowia</w:t>
      </w:r>
    </w:p>
    <w:p w14:paraId="6B96B40B" w14:textId="77777777" w:rsidR="001D4CB1" w:rsidRPr="001D4CB1" w:rsidRDefault="001D4CB1" w:rsidP="001D4CB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b/>
          <w:bCs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IV. Struktura organizacyjna przedsiębiorstwa podmiotu leczniczego</w:t>
      </w:r>
    </w:p>
    <w:p w14:paraId="0F8602A2" w14:textId="0317A269" w:rsidR="001D4CB1" w:rsidRPr="00E16FF1" w:rsidRDefault="001D4CB1" w:rsidP="001D4CB1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W ramach podmiotu leczniczego wyodrębnia się jednostk</w:t>
      </w:r>
      <w:r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ę</w:t>
      </w: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 organizacyjn</w:t>
      </w:r>
      <w:r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ą</w:t>
      </w: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:</w:t>
      </w:r>
    </w:p>
    <w:p w14:paraId="697A5D30" w14:textId="11CBFCC5" w:rsidR="001D4CB1" w:rsidRPr="001D4CB1" w:rsidRDefault="001D4CB1" w:rsidP="001D4CB1">
      <w:pPr>
        <w:shd w:val="clear" w:color="auto" w:fill="FFFFFF"/>
        <w:spacing w:before="100" w:beforeAutospacing="1" w:after="120" w:line="240" w:lineRule="auto"/>
        <w:ind w:left="720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E16FF1">
        <w:rPr>
          <w:rFonts w:asciiTheme="majorHAnsi" w:hAnsiTheme="majorHAnsi" w:cstheme="majorHAnsi"/>
          <w:sz w:val="18"/>
          <w:szCs w:val="18"/>
          <w:shd w:val="clear" w:color="auto" w:fill="F2F2F2"/>
        </w:rPr>
        <w:t xml:space="preserve">Niepubliczny Zakład Opieki Zdrowotnej </w:t>
      </w:r>
      <w:proofErr w:type="spellStart"/>
      <w:r w:rsidRPr="00E16FF1">
        <w:rPr>
          <w:rFonts w:asciiTheme="majorHAnsi" w:hAnsiTheme="majorHAnsi" w:cstheme="majorHAnsi"/>
          <w:sz w:val="18"/>
          <w:szCs w:val="18"/>
          <w:shd w:val="clear" w:color="auto" w:fill="F2F2F2"/>
        </w:rPr>
        <w:t>Anmed</w:t>
      </w:r>
      <w:proofErr w:type="spellEnd"/>
      <w:r w:rsidRPr="00E16FF1">
        <w:rPr>
          <w:rFonts w:asciiTheme="majorHAnsi" w:hAnsiTheme="majorHAnsi" w:cstheme="majorHAnsi"/>
          <w:sz w:val="18"/>
          <w:szCs w:val="18"/>
          <w:shd w:val="clear" w:color="auto" w:fill="F2F2F2"/>
        </w:rPr>
        <w:t xml:space="preserve"> Anna Kędra Anna Pikuła</w:t>
      </w:r>
    </w:p>
    <w:p w14:paraId="14E52EB4" w14:textId="77777777" w:rsidR="001D4CB1" w:rsidRPr="001D4CB1" w:rsidRDefault="001D4CB1" w:rsidP="001D4CB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W obrębie jednostki organizacyjnej wskazanej w pkt. 1 ust.1 funkcjonują komórki organizacyjne:</w:t>
      </w:r>
    </w:p>
    <w:p w14:paraId="373D75E6" w14:textId="47276287" w:rsidR="001D4CB1" w:rsidRPr="00E16FF1" w:rsidRDefault="001D4CB1" w:rsidP="001D4CB1">
      <w:pPr>
        <w:numPr>
          <w:ilvl w:val="1"/>
          <w:numId w:val="6"/>
        </w:num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Poradnia stomatologiczna</w:t>
      </w:r>
      <w:r w:rsidR="00DF7BBA"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 w Lublinie przy ul Turniowej 7</w:t>
      </w:r>
    </w:p>
    <w:p w14:paraId="6EA1C393" w14:textId="5C37FD67" w:rsidR="00DF7BBA" w:rsidRPr="001D4CB1" w:rsidRDefault="00DF7BBA" w:rsidP="001D4CB1">
      <w:pPr>
        <w:numPr>
          <w:ilvl w:val="1"/>
          <w:numId w:val="6"/>
        </w:num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Poradnia stomatologiczna w Bychawie, przy ulicy Piłsudskiego 36E</w:t>
      </w:r>
    </w:p>
    <w:p w14:paraId="4BE0CF79" w14:textId="77777777" w:rsidR="001D4CB1" w:rsidRPr="001D4CB1" w:rsidRDefault="001D4CB1" w:rsidP="001D4CB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b/>
          <w:bCs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V. Miejsca udzielania świadczeń zdrowotnych</w:t>
      </w:r>
    </w:p>
    <w:p w14:paraId="7DDDD456" w14:textId="77777777" w:rsidR="00DF7BBA" w:rsidRPr="00E16FF1" w:rsidRDefault="00DF7BBA" w:rsidP="00B7473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lastRenderedPageBreak/>
        <w:t>M</w:t>
      </w:r>
      <w:r w:rsidR="001D4CB1"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iejscem udzielania świadczeń zdrowotnych </w:t>
      </w:r>
      <w:r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są obie poradnie stomatologiczne.</w:t>
      </w:r>
    </w:p>
    <w:p w14:paraId="0A4F2D71" w14:textId="058FEF59" w:rsidR="001D4CB1" w:rsidRPr="001D4CB1" w:rsidRDefault="001D4CB1" w:rsidP="00DF7BBA">
      <w:pPr>
        <w:shd w:val="clear" w:color="auto" w:fill="FFFFFF"/>
        <w:spacing w:before="100" w:beforeAutospacing="1" w:after="0" w:line="240" w:lineRule="auto"/>
        <w:ind w:left="720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b/>
          <w:bCs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VI. Przebieg procesu udzielania świadczeń zdrowotnych w jednostkach i komórkach organizacyjnych podmiotu leczniczego</w:t>
      </w:r>
    </w:p>
    <w:p w14:paraId="1A8F07AB" w14:textId="77777777" w:rsidR="001D4CB1" w:rsidRPr="001D4CB1" w:rsidRDefault="001D4CB1" w:rsidP="001D4CB1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Świadczenia zdrowotne udzielane są wyłącznie przez pracowników medycznych, którzy posiadają odpowiednie kwalifikacje do wykonywania świadczeń, potwierdzone dyplomami, certyfikatami i spełniających odpowiednie wymagania zdrowotne.</w:t>
      </w:r>
    </w:p>
    <w:p w14:paraId="7C25E6C3" w14:textId="77777777" w:rsidR="001D4CB1" w:rsidRPr="001D4CB1" w:rsidRDefault="001D4CB1" w:rsidP="001D4CB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Rejestracja pacjentów dokonywana jest na podstawie zgłoszenia:</w:t>
      </w:r>
    </w:p>
    <w:p w14:paraId="5512B728" w14:textId="77777777" w:rsidR="001D4CB1" w:rsidRPr="001D4CB1" w:rsidRDefault="001D4CB1" w:rsidP="001D4CB1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osobistego lub za pośrednictwem osoby trzeciej w miejscu udzielania świadczeń,</w:t>
      </w:r>
    </w:p>
    <w:p w14:paraId="4A095E29" w14:textId="655CEF59" w:rsidR="001D4CB1" w:rsidRPr="00E16FF1" w:rsidRDefault="001D4CB1" w:rsidP="001D4CB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telefonicznego pod numerem telefonu </w:t>
      </w:r>
      <w:r w:rsidR="00DF7BBA"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815340454-poradnia w Lublinie</w:t>
      </w: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 lub </w:t>
      </w:r>
      <w:r w:rsidR="00DF7BBA"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502636873 -poradnia w Bychawie</w:t>
      </w:r>
    </w:p>
    <w:p w14:paraId="5F2946B7" w14:textId="128620ED" w:rsidR="00DF7BBA" w:rsidRPr="001D4CB1" w:rsidRDefault="00DF7BBA" w:rsidP="001D4CB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formularza internetowego dostępnego na stronie internetowej zakładu leczniczego</w:t>
      </w:r>
    </w:p>
    <w:p w14:paraId="646E228F" w14:textId="77777777" w:rsidR="001D4CB1" w:rsidRPr="001D4CB1" w:rsidRDefault="001D4CB1" w:rsidP="001D4CB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Proces udzielania świadczeń zdrowotnych rozpoczyna się w Rejestracji. W Rejestracji pacjent zobowiązany jest okazać</w:t>
      </w:r>
    </w:p>
    <w:p w14:paraId="7030B5B7" w14:textId="0B6FC6C1" w:rsidR="001D4CB1" w:rsidRPr="001D4CB1" w:rsidRDefault="001D4CB1" w:rsidP="001D4CB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b/>
          <w:bCs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dowód tożsamości </w:t>
      </w: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(celem zweryfikowania tożsamości</w:t>
      </w:r>
      <w:r w:rsidR="00DF7BBA"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 pacjenta</w:t>
      </w: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, bowiem zgodnie z obowiązującymi przepisami, </w:t>
      </w:r>
      <w:r w:rsidR="00DF7BBA"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podmiot leczniczy </w:t>
      </w: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ma prawo do przetwarzania danych osobowych w tym numeru Pesel swoich pacjentów)</w:t>
      </w:r>
    </w:p>
    <w:p w14:paraId="17B831A8" w14:textId="407E22C5" w:rsidR="001D4CB1" w:rsidRPr="001D4CB1" w:rsidRDefault="001D4CB1" w:rsidP="001D4CB1">
      <w:pPr>
        <w:numPr>
          <w:ilvl w:val="0"/>
          <w:numId w:val="12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W Rejestracji pacjent </w:t>
      </w:r>
      <w:r w:rsidR="00DF7BBA"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ma prawo</w:t>
      </w: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 złożyć pisemne oświadczenie o upoważnieniu określonej osoby do wglądu w dokumentację medyczną za życia pacjenta i po jego śmierci (lub o nieupoważnieniu nikogo), a także o zgod</w:t>
      </w:r>
      <w:r w:rsidR="00DF7BBA"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ę</w:t>
      </w: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 na udzielenie świadczeń zdrowotnych, zgodnie z Art. 17 i Art. 26 ustawy z dnia 6.11.2008r. o prawach pacjenta i Rzeczniku Praw Pacjenta (Dz.U.08.52.417)</w:t>
      </w:r>
    </w:p>
    <w:p w14:paraId="1055BD65" w14:textId="2BFEB11E" w:rsidR="001D4CB1" w:rsidRPr="001D4CB1" w:rsidRDefault="001D4CB1" w:rsidP="001D4CB1">
      <w:pPr>
        <w:numPr>
          <w:ilvl w:val="0"/>
          <w:numId w:val="12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Zgoda na udzielenie świadczenia </w:t>
      </w:r>
      <w:r w:rsidR="00DF7BBA"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wyrażana jest przez pacjenta w formie ustnej lub pisemnej </w:t>
      </w:r>
    </w:p>
    <w:p w14:paraId="444F8A7B" w14:textId="77777777" w:rsidR="001D4CB1" w:rsidRPr="001D4CB1" w:rsidRDefault="001D4CB1" w:rsidP="001D4CB1">
      <w:pPr>
        <w:numPr>
          <w:ilvl w:val="0"/>
          <w:numId w:val="12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Po zarejestrowaniu się do lekarza, pacjent w umówionym dniu i o określonej godzinie zgłasza się do przyjęcia we wskazanym gabinecie lekarskim, na pierwsza wizytę pacjent zgłasza się 15 minut wcześniej, w celu założenia dokumentacji medycznej</w:t>
      </w:r>
    </w:p>
    <w:p w14:paraId="3A8072C4" w14:textId="73EAC3D1" w:rsidR="001D4CB1" w:rsidRPr="001D4CB1" w:rsidRDefault="001D4CB1" w:rsidP="001D4CB1">
      <w:pPr>
        <w:numPr>
          <w:ilvl w:val="0"/>
          <w:numId w:val="12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W trakcie udzielenia świadczenia zdrowotnego pacjent ma prawo do uzyskania wszystkich niezbędnych wyjaśnień, dotyczących postawionej diagnozy, a także zaproponowanego leczenia.</w:t>
      </w:r>
      <w:r w:rsidR="00DF7BBA"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 </w:t>
      </w:r>
    </w:p>
    <w:p w14:paraId="6CBF9A20" w14:textId="6FFBF2F6" w:rsidR="001D4CB1" w:rsidRPr="001D4CB1" w:rsidRDefault="001D4CB1" w:rsidP="001D4CB1">
      <w:pPr>
        <w:numPr>
          <w:ilvl w:val="0"/>
          <w:numId w:val="12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Na każdym etapie udzielania świadczenia zdrowotnego pacjent ma prawo do złożenia skargi / zażalenia na zachowanie lub czynności personelu </w:t>
      </w:r>
      <w:r w:rsidR="00071FCC"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 przyjmuje kierownik NZOZ Centrum Medyczne </w:t>
      </w:r>
      <w:proofErr w:type="spellStart"/>
      <w:r w:rsidR="00071FCC"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Anmed</w:t>
      </w:r>
      <w:proofErr w:type="spellEnd"/>
      <w:r w:rsidR="00071FCC"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.</w:t>
      </w: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.</w:t>
      </w:r>
    </w:p>
    <w:p w14:paraId="0D889E10" w14:textId="77777777" w:rsidR="001D4CB1" w:rsidRPr="001D4CB1" w:rsidRDefault="001D4CB1" w:rsidP="001D4CB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Skarga może być złożona ustnie lub pisemnie. Na każdą skargę złożoną pisemnie należy udzielić pisemnej odpowiedzi w terminie nie przekraczającym 14 dni.</w:t>
      </w:r>
    </w:p>
    <w:p w14:paraId="4D247699" w14:textId="77777777" w:rsidR="001D4CB1" w:rsidRPr="001D4CB1" w:rsidRDefault="001D4CB1" w:rsidP="001D4CB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b/>
          <w:bCs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VII. Organizacja i zadania poszczególnych komórek organizacyjnych przedsiębiorstwa podmiotu leczniczego</w:t>
      </w:r>
    </w:p>
    <w:p w14:paraId="0AE69A8F" w14:textId="77777777" w:rsidR="001D4CB1" w:rsidRPr="001D4CB1" w:rsidRDefault="001D4CB1" w:rsidP="001D4CB1">
      <w:pPr>
        <w:numPr>
          <w:ilvl w:val="0"/>
          <w:numId w:val="13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b/>
          <w:bCs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 </w:t>
      </w: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Do głównych zadań organizacyjnych wszystkich komórek organizacyjnych należy:</w:t>
      </w:r>
    </w:p>
    <w:p w14:paraId="4BC424A8" w14:textId="77777777" w:rsidR="001D4CB1" w:rsidRPr="001D4CB1" w:rsidRDefault="001D4CB1" w:rsidP="001D4CB1">
      <w:pPr>
        <w:numPr>
          <w:ilvl w:val="1"/>
          <w:numId w:val="13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realizacja zadań podmiotu i celu, dla którego został on utworzony, określonych w powszechnie obowiązujących przepisach prawa oraz niniejszym Regulaminie;</w:t>
      </w:r>
    </w:p>
    <w:p w14:paraId="3EBF3086" w14:textId="77777777" w:rsidR="001D4CB1" w:rsidRPr="001D4CB1" w:rsidRDefault="001D4CB1" w:rsidP="001D4CB1">
      <w:pPr>
        <w:numPr>
          <w:ilvl w:val="1"/>
          <w:numId w:val="13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kompetentne i terminowe wywiązywanie się z przyjętych obowiązków;</w:t>
      </w:r>
    </w:p>
    <w:p w14:paraId="47B5694F" w14:textId="77777777" w:rsidR="001D4CB1" w:rsidRPr="001D4CB1" w:rsidRDefault="001D4CB1" w:rsidP="001D4CB1">
      <w:pPr>
        <w:numPr>
          <w:ilvl w:val="1"/>
          <w:numId w:val="13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dbałość o należyty wizerunek podmiotu leczniczego</w:t>
      </w:r>
    </w:p>
    <w:p w14:paraId="1595D35E" w14:textId="77777777" w:rsidR="001D4CB1" w:rsidRPr="001D4CB1" w:rsidRDefault="001D4CB1" w:rsidP="001D4CB1">
      <w:pPr>
        <w:numPr>
          <w:ilvl w:val="1"/>
          <w:numId w:val="13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zapewnienie sprawności funkcjonowania podmiotu;</w:t>
      </w:r>
    </w:p>
    <w:p w14:paraId="2FDA848E" w14:textId="77777777" w:rsidR="001D4CB1" w:rsidRPr="001D4CB1" w:rsidRDefault="001D4CB1" w:rsidP="001D4CB1">
      <w:pPr>
        <w:numPr>
          <w:ilvl w:val="1"/>
          <w:numId w:val="13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przestrzeganie tajemnicy służbowej, kodeksów etyki zawodowej, karty praw pacjenta;</w:t>
      </w:r>
    </w:p>
    <w:p w14:paraId="6D1C1965" w14:textId="77777777" w:rsidR="001D4CB1" w:rsidRPr="001D4CB1" w:rsidRDefault="001D4CB1" w:rsidP="001D4CB1">
      <w:pPr>
        <w:numPr>
          <w:ilvl w:val="1"/>
          <w:numId w:val="13"/>
        </w:num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lastRenderedPageBreak/>
        <w:t>wykonywanie innych czynności określonych w poszczególnych zarządzeniach lub poleceniach przełożonego.</w:t>
      </w:r>
    </w:p>
    <w:p w14:paraId="6A07216A" w14:textId="2FA4C03A" w:rsidR="001D4CB1" w:rsidRPr="001D4CB1" w:rsidRDefault="001D4CB1" w:rsidP="001D4CB1">
      <w:pPr>
        <w:numPr>
          <w:ilvl w:val="0"/>
          <w:numId w:val="13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Do podstawowych zadań wszystkich komórek organizacyjnych należy:</w:t>
      </w:r>
    </w:p>
    <w:p w14:paraId="2E99C4BD" w14:textId="77777777" w:rsidR="001D4CB1" w:rsidRPr="001D4CB1" w:rsidRDefault="001D4CB1" w:rsidP="001D4CB1">
      <w:pPr>
        <w:numPr>
          <w:ilvl w:val="1"/>
          <w:numId w:val="13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badanie i porada lekarska,</w:t>
      </w:r>
    </w:p>
    <w:p w14:paraId="5C1D4958" w14:textId="77777777" w:rsidR="001D4CB1" w:rsidRPr="001D4CB1" w:rsidRDefault="001D4CB1" w:rsidP="001D4CB1">
      <w:pPr>
        <w:numPr>
          <w:ilvl w:val="1"/>
          <w:numId w:val="13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działania diagnostyczne</w:t>
      </w:r>
    </w:p>
    <w:p w14:paraId="6A93A822" w14:textId="77777777" w:rsidR="001D4CB1" w:rsidRPr="001D4CB1" w:rsidRDefault="001D4CB1" w:rsidP="001D4CB1">
      <w:pPr>
        <w:numPr>
          <w:ilvl w:val="1"/>
          <w:numId w:val="13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udzielenie pierwszej pomocy doraźnej</w:t>
      </w:r>
    </w:p>
    <w:p w14:paraId="3DA60129" w14:textId="77777777" w:rsidR="001D4CB1" w:rsidRPr="001D4CB1" w:rsidRDefault="001D4CB1" w:rsidP="001D4CB1">
      <w:pPr>
        <w:numPr>
          <w:ilvl w:val="1"/>
          <w:numId w:val="13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profilaktyka stomatologiczna</w:t>
      </w:r>
    </w:p>
    <w:p w14:paraId="24874F73" w14:textId="77777777" w:rsidR="001D4CB1" w:rsidRPr="001D4CB1" w:rsidRDefault="001D4CB1" w:rsidP="001D4CB1">
      <w:pPr>
        <w:numPr>
          <w:ilvl w:val="1"/>
          <w:numId w:val="13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świadczenia z zakresu stomatologii zachowawczej</w:t>
      </w:r>
    </w:p>
    <w:p w14:paraId="75FFA22D" w14:textId="77777777" w:rsidR="001D4CB1" w:rsidRPr="001D4CB1" w:rsidRDefault="001D4CB1" w:rsidP="001D4CB1">
      <w:pPr>
        <w:numPr>
          <w:ilvl w:val="1"/>
          <w:numId w:val="13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świadczenia z zakresu protetyki stomatologicznej</w:t>
      </w:r>
    </w:p>
    <w:p w14:paraId="6AFD896A" w14:textId="77777777" w:rsidR="001D4CB1" w:rsidRPr="001D4CB1" w:rsidRDefault="001D4CB1" w:rsidP="001D4CB1">
      <w:pPr>
        <w:numPr>
          <w:ilvl w:val="1"/>
          <w:numId w:val="13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świadczenia z zakresu chirurgii stomatologicznej</w:t>
      </w:r>
    </w:p>
    <w:p w14:paraId="1B8D8519" w14:textId="77777777" w:rsidR="001D4CB1" w:rsidRPr="001D4CB1" w:rsidRDefault="001D4CB1" w:rsidP="001D4CB1">
      <w:pPr>
        <w:numPr>
          <w:ilvl w:val="1"/>
          <w:numId w:val="13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świadczenia z zakresu stomatologii dziecięcej</w:t>
      </w:r>
    </w:p>
    <w:p w14:paraId="1F37BE9D" w14:textId="77777777" w:rsidR="001D4CB1" w:rsidRPr="001D4CB1" w:rsidRDefault="001D4CB1" w:rsidP="001D4CB1">
      <w:pPr>
        <w:numPr>
          <w:ilvl w:val="1"/>
          <w:numId w:val="13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świadczenia z zakresu periodontologii</w:t>
      </w:r>
    </w:p>
    <w:p w14:paraId="0C3C1804" w14:textId="77777777" w:rsidR="001D4CB1" w:rsidRPr="001D4CB1" w:rsidRDefault="001D4CB1" w:rsidP="001D4CB1">
      <w:pPr>
        <w:numPr>
          <w:ilvl w:val="1"/>
          <w:numId w:val="13"/>
        </w:num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prowadzenie dokumentacji medycznej.</w:t>
      </w:r>
    </w:p>
    <w:p w14:paraId="7871F916" w14:textId="77777777" w:rsidR="001D4CB1" w:rsidRPr="001D4CB1" w:rsidRDefault="001D4CB1" w:rsidP="001D4CB1">
      <w:pPr>
        <w:numPr>
          <w:ilvl w:val="0"/>
          <w:numId w:val="13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Szczegółowy zakres zadań, praw i obowiązków pracowników zatrudnionych w przedsiębiorstwie podmiotu leczniczego regulują odrębne, wewnątrzzakładowe przepisy o treści ustalonej przez przedsiębiorcę będącego podmiotem leczniczym.</w:t>
      </w:r>
    </w:p>
    <w:p w14:paraId="476DC491" w14:textId="77777777" w:rsidR="001D4CB1" w:rsidRPr="001D4CB1" w:rsidRDefault="001D4CB1" w:rsidP="001D4CB1">
      <w:pPr>
        <w:numPr>
          <w:ilvl w:val="0"/>
          <w:numId w:val="13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Współdziałanie między poszczególnymi jednostkami oraz komórkami organizacyjnymi podmiotu powinno odbywać się w sposób, który zapewni sprawność funkcjonowania podmiotu oraz kompleksowość, dostępność i należytą jakość udzielania świadczeń zdrowotnych.</w:t>
      </w:r>
    </w:p>
    <w:p w14:paraId="591AC704" w14:textId="77777777" w:rsidR="001D4CB1" w:rsidRPr="001D4CB1" w:rsidRDefault="001D4CB1" w:rsidP="001D4CB1">
      <w:pPr>
        <w:numPr>
          <w:ilvl w:val="0"/>
          <w:numId w:val="13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Podmiot leczniczy powierza wyznaczonemu lekarzowi obowiązek nadzoru w zakresie prawidłowości i jakości udzielanych świadczeń zdrowotnych, koordynacji pracy personelu medycznego zatrudnionego przez podmiot leczniczy oraz nadzoru nad prawidłowością prowadzenia dokumentacji medycznej i przetwarzania danych w niej zawartych.</w:t>
      </w:r>
    </w:p>
    <w:p w14:paraId="7351C435" w14:textId="235130FB" w:rsidR="001D4CB1" w:rsidRPr="001D4CB1" w:rsidRDefault="00071FCC" w:rsidP="001D4CB1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W</w:t>
      </w:r>
      <w:r w:rsidR="001D4CB1"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 realizacji swoich zadań</w:t>
      </w:r>
      <w:r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 Centrum Medyczne </w:t>
      </w:r>
      <w:proofErr w:type="spellStart"/>
      <w:r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Anmed</w:t>
      </w:r>
      <w:proofErr w:type="spellEnd"/>
      <w:r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 </w:t>
      </w:r>
      <w:r w:rsidR="001D4CB1"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 może współpracować z innymi podmiotami wykonującymi działalność leczniczą, organizacjami społecznymi, fundacjami, stowarzyszeniami naukowymi i innymi instytucjami, których statutowym zadaniem jest działanie na rzecz zdrowia społeczeństwa.</w:t>
      </w:r>
    </w:p>
    <w:p w14:paraId="22E12AB4" w14:textId="77777777" w:rsidR="001D4CB1" w:rsidRPr="001D4CB1" w:rsidRDefault="001D4CB1" w:rsidP="001D4CB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b/>
          <w:bCs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VIII. Warunki współdziałania z innymi podmiotami wykonującymi działalność leczniczą w zakresie zapewnienia prawidłowości diagnostyki, leczenia, pielęgnacji i rehabilitacji pacjentów oraz ciągłości przebiegu procesu udzielania świadczeń zdrowotnych</w:t>
      </w:r>
    </w:p>
    <w:p w14:paraId="33300233" w14:textId="77777777" w:rsidR="001D4CB1" w:rsidRPr="001D4CB1" w:rsidRDefault="001D4CB1" w:rsidP="001D4CB1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W sytuacji, gdy podmiot leczniczy nie jest w stanie zapewnić niezbędnej kompleksowości w ramach udzielanego świadczenia, bądź wymagana jest konsultacja specjalistyczna, osoba udzielająca świadczeń udziela pacjentowi informacji o podmiotach wykonujących działalność leczniczą, które mogą udzielić świadczeń w zakresie wymaganym w danym przypadku. W uzasadnionych medycznie przypadkach lekarz wydaje skierowania na badania diagnostyczne, do poradni specjalistycznych lub do leczenia stacjonarnego.</w:t>
      </w:r>
    </w:p>
    <w:p w14:paraId="53D12AF4" w14:textId="77777777" w:rsidR="001D4CB1" w:rsidRPr="001D4CB1" w:rsidRDefault="001D4CB1" w:rsidP="001D4CB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b/>
          <w:bCs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IX. Postępowanie z dokumentacją medyczną</w:t>
      </w:r>
    </w:p>
    <w:p w14:paraId="1A69B6F9" w14:textId="77777777" w:rsidR="001D4CB1" w:rsidRPr="001D4CB1" w:rsidRDefault="001D4CB1" w:rsidP="001D4CB1">
      <w:pPr>
        <w:numPr>
          <w:ilvl w:val="0"/>
          <w:numId w:val="15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Podmiot leczniczy prowadzi, przechowuje i udostępnia dokumentację medyczną na zasadach określony w niniejszym Regulaminie, a także w ustawie z dnia o prawach pacjenta i Rzeczniku Praw Pacjenta i Rozporządzeniu Ministra Zdrowia z dnia 21 grudnia 2010 r. w sprawie rodzajów i zakresu dokumentacji medycznej oraz sposobu jej przetwarzania.</w:t>
      </w:r>
    </w:p>
    <w:p w14:paraId="649D2A3F" w14:textId="77777777" w:rsidR="001D4CB1" w:rsidRPr="001D4CB1" w:rsidRDefault="001D4CB1" w:rsidP="001D4CB1">
      <w:pPr>
        <w:numPr>
          <w:ilvl w:val="0"/>
          <w:numId w:val="15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Podmiot leczniczy zapewnia ochronę danych zawartych w dokumentacji medycznej.</w:t>
      </w:r>
    </w:p>
    <w:p w14:paraId="7C6AB123" w14:textId="77777777" w:rsidR="001D4CB1" w:rsidRPr="001D4CB1" w:rsidRDefault="001D4CB1" w:rsidP="001D4CB1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Dokumentację, o której mowa w ust. 1 udostępnia się w szczególności na wniosek:</w:t>
      </w:r>
    </w:p>
    <w:p w14:paraId="241A8E64" w14:textId="77777777" w:rsidR="001D4CB1" w:rsidRPr="001D4CB1" w:rsidRDefault="001D4CB1" w:rsidP="001D4CB1">
      <w:pPr>
        <w:numPr>
          <w:ilvl w:val="0"/>
          <w:numId w:val="16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lastRenderedPageBreak/>
        <w:t>pacjenta lub jego przedstawiciela ustawowego, bądź osoby upoważnionej przez pacjenta; po śmierci pacjenta, prawo wglądu w dokumentację medyczną ma osoba upoważniona przez pacjenta za życia;</w:t>
      </w:r>
    </w:p>
    <w:p w14:paraId="29D563C7" w14:textId="77777777" w:rsidR="001D4CB1" w:rsidRPr="001D4CB1" w:rsidRDefault="001D4CB1" w:rsidP="001D4CB1">
      <w:pPr>
        <w:numPr>
          <w:ilvl w:val="0"/>
          <w:numId w:val="16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podmiotu udzielającego świadczeń zdrowotnych, jeżeli dokumentacja ta jest niezbędna do zapewnienia ciągłości świadczeń zdrowotnych;</w:t>
      </w:r>
    </w:p>
    <w:p w14:paraId="7A618DC6" w14:textId="77777777" w:rsidR="001D4CB1" w:rsidRPr="001D4CB1" w:rsidRDefault="001D4CB1" w:rsidP="001D4CB1">
      <w:pPr>
        <w:numPr>
          <w:ilvl w:val="0"/>
          <w:numId w:val="16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organu władzy publicznej, Narodowego Funduszu Zdrowia, organu samorządu zawodów medycznych oraz konsultantów krajowego i wojewódzkiego, w zakresie niezbędnym do wykonywania przez te podmioty ich zadań, w szczególności kontroli i nadzoru;</w:t>
      </w:r>
    </w:p>
    <w:p w14:paraId="0B88E5E3" w14:textId="77777777" w:rsidR="001D4CB1" w:rsidRPr="001D4CB1" w:rsidRDefault="001D4CB1" w:rsidP="001D4CB1">
      <w:pPr>
        <w:numPr>
          <w:ilvl w:val="0"/>
          <w:numId w:val="16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ministra do spraw zdrowia, sądu, prokuratura, lekarza sądowego i rzecznika odpowiedzialności zawodowej, w związku z prowadzonym postępowaniem;</w:t>
      </w:r>
    </w:p>
    <w:p w14:paraId="1DE7D9CF" w14:textId="77777777" w:rsidR="001D4CB1" w:rsidRPr="001D4CB1" w:rsidRDefault="001D4CB1" w:rsidP="001D4CB1">
      <w:pPr>
        <w:numPr>
          <w:ilvl w:val="0"/>
          <w:numId w:val="16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organu rentowego oraz zespołu do spraw orzekania o niepełnosprawności, w związku z prowadzonym przez nie postępowaniem;</w:t>
      </w:r>
    </w:p>
    <w:p w14:paraId="629B9158" w14:textId="77777777" w:rsidR="001D4CB1" w:rsidRPr="001D4CB1" w:rsidRDefault="001D4CB1" w:rsidP="001D4CB1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zakładu ubezpieczeń, za zgodą pacjenta.</w:t>
      </w:r>
    </w:p>
    <w:p w14:paraId="0523D130" w14:textId="77777777" w:rsidR="001D4CB1" w:rsidRPr="001D4CB1" w:rsidRDefault="001D4CB1" w:rsidP="001D4CB1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Dokumentacja medyczna jest udostępniana:</w:t>
      </w:r>
    </w:p>
    <w:p w14:paraId="4A1CC759" w14:textId="77777777" w:rsidR="001D4CB1" w:rsidRPr="001D4CB1" w:rsidRDefault="001D4CB1" w:rsidP="001D4CB1">
      <w:pPr>
        <w:numPr>
          <w:ilvl w:val="0"/>
          <w:numId w:val="18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do wglądu w siedzibie podmiotu leczniczego;</w:t>
      </w:r>
    </w:p>
    <w:p w14:paraId="4D1881EA" w14:textId="77777777" w:rsidR="001D4CB1" w:rsidRPr="001D4CB1" w:rsidRDefault="001D4CB1" w:rsidP="001D4CB1">
      <w:pPr>
        <w:numPr>
          <w:ilvl w:val="0"/>
          <w:numId w:val="18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poprzez sporządzenie jej wyciągów, odpisów lub kopii;</w:t>
      </w:r>
    </w:p>
    <w:p w14:paraId="403CCD04" w14:textId="77777777" w:rsidR="001D4CB1" w:rsidRPr="001D4CB1" w:rsidRDefault="001D4CB1" w:rsidP="001D4CB1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poprzez wydanie oryginału za pokwitowaniem odbioru i z zastrzeżeniem zwrotu po wykorzystaniu, jeżeli uprawniony organ lub podmiot żąda udostępnienia oryginałów tej dokumentacji.</w:t>
      </w:r>
    </w:p>
    <w:p w14:paraId="7791F894" w14:textId="77777777" w:rsidR="001D4CB1" w:rsidRPr="001D4CB1" w:rsidRDefault="001D4CB1" w:rsidP="001D4CB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b/>
          <w:bCs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X. Wysokość opłat za udostępnienie dokumentacji medycznej</w:t>
      </w:r>
    </w:p>
    <w:p w14:paraId="35FA35B6" w14:textId="77777777" w:rsidR="001D4CB1" w:rsidRPr="001D4CB1" w:rsidRDefault="001D4CB1" w:rsidP="001D4CB1">
      <w:pPr>
        <w:numPr>
          <w:ilvl w:val="0"/>
          <w:numId w:val="19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Dokumentacja medyczna udostępniana jest pacjentom lub osobom przez nich pisemnie upoważnionym do wglądu do dokumentacji medycznej za życia pacjenta lub / i po jego śmierci, zgodnie z warunkami określonymi w Ustawie z dnia 6.11.2008r. o prawach pacjenta i Rzeczniku Praw Pacjenta.</w:t>
      </w:r>
    </w:p>
    <w:p w14:paraId="47104780" w14:textId="77777777" w:rsidR="001D4CB1" w:rsidRPr="001D4CB1" w:rsidRDefault="001D4CB1" w:rsidP="001D4CB1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Wysokość opłat:</w:t>
      </w:r>
    </w:p>
    <w:p w14:paraId="603F05CF" w14:textId="70BC0E23" w:rsidR="009938E9" w:rsidRPr="00E16FF1" w:rsidRDefault="009938E9" w:rsidP="009938E9">
      <w:pPr>
        <w:shd w:val="clear" w:color="auto" w:fill="FFFFFF"/>
        <w:spacing w:before="100" w:beforeAutospacing="1" w:after="0" w:line="240" w:lineRule="auto"/>
        <w:ind w:left="1440"/>
        <w:rPr>
          <w:rFonts w:asciiTheme="majorHAnsi" w:hAnsiTheme="majorHAnsi" w:cstheme="majorHAnsi"/>
        </w:rPr>
      </w:pPr>
      <w:r w:rsidRPr="00E16FF1">
        <w:rPr>
          <w:rFonts w:asciiTheme="majorHAnsi" w:hAnsiTheme="majorHAnsi" w:cstheme="majorHAnsi"/>
        </w:rPr>
        <w:t>Za udostępnienie dokumentacji medycznej Podmiot Leczniczy nie pobiera opłaty</w:t>
      </w:r>
    </w:p>
    <w:p w14:paraId="6C988F99" w14:textId="77777777" w:rsidR="009938E9" w:rsidRPr="001D4CB1" w:rsidRDefault="009938E9" w:rsidP="009938E9">
      <w:pPr>
        <w:shd w:val="clear" w:color="auto" w:fill="FFFFFF"/>
        <w:spacing w:before="100" w:beforeAutospacing="1" w:after="0" w:line="240" w:lineRule="auto"/>
        <w:ind w:left="1440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</w:p>
    <w:p w14:paraId="5612951C" w14:textId="77777777" w:rsidR="001D4CB1" w:rsidRPr="00E16FF1" w:rsidRDefault="001D4CB1" w:rsidP="001D4CB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kern w:val="0"/>
          <w:sz w:val="21"/>
          <w:szCs w:val="21"/>
          <w:bdr w:val="none" w:sz="0" w:space="0" w:color="auto" w:frame="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b/>
          <w:bCs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XI. Organizacja procesu udzielania świadczeń zdrowotnych w przypadku pobierania opłat</w:t>
      </w:r>
    </w:p>
    <w:p w14:paraId="5E9F805B" w14:textId="559354E2" w:rsidR="009938E9" w:rsidRPr="00E16FF1" w:rsidRDefault="009938E9" w:rsidP="001D4CB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kern w:val="0"/>
          <w:sz w:val="21"/>
          <w:szCs w:val="21"/>
          <w:bdr w:val="none" w:sz="0" w:space="0" w:color="auto" w:frame="1"/>
          <w:lang w:eastAsia="pl-PL"/>
          <w14:ligatures w14:val="none"/>
        </w:rPr>
      </w:pPr>
    </w:p>
    <w:p w14:paraId="0FECB138" w14:textId="5639B57B" w:rsidR="009938E9" w:rsidRPr="00E16FF1" w:rsidRDefault="009938E9" w:rsidP="009938E9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Podmiot leczniczy ma podpisaną umowę z NFZ</w:t>
      </w:r>
      <w:r w:rsidR="00E16FF1"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, a</w:t>
      </w:r>
      <w:r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 co za tym idzie świadczenia medyczne finansowane ze środków publicznych s</w:t>
      </w:r>
      <w:r w:rsidR="00E16FF1"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ą</w:t>
      </w:r>
      <w:r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 bezpłatne dla pacjentów.</w:t>
      </w:r>
    </w:p>
    <w:p w14:paraId="527F22F7" w14:textId="75FB2A5F" w:rsidR="009938E9" w:rsidRPr="00E16FF1" w:rsidRDefault="009938E9" w:rsidP="009938E9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Za udzielanie świadczeń zdrowotnych innych niż finansowane ze </w:t>
      </w:r>
      <w:r w:rsidR="00E16FF1"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ś</w:t>
      </w:r>
      <w:r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rodków publicznych pobierane są opłaty, zgodnie z obowi</w:t>
      </w:r>
      <w:r w:rsidR="00E16FF1"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ą</w:t>
      </w:r>
      <w:r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zuj</w:t>
      </w:r>
      <w:r w:rsidR="00E16FF1"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ą</w:t>
      </w:r>
      <w:r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cym cennikiem dostępnym w siedzibie podmiotu leczniczego.</w:t>
      </w:r>
    </w:p>
    <w:p w14:paraId="38508F44" w14:textId="5AFDE36C" w:rsidR="009938E9" w:rsidRPr="00E16FF1" w:rsidRDefault="00E16FF1" w:rsidP="009938E9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Pacjenci przy wyrażaniu woli i zgody na świadczenie odpłatne informowani są o wysokości opłaty.</w:t>
      </w:r>
    </w:p>
    <w:p w14:paraId="734D1754" w14:textId="77777777" w:rsidR="001D4CB1" w:rsidRPr="001D4CB1" w:rsidRDefault="001D4CB1" w:rsidP="001D4CB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b/>
          <w:bCs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XII. Sposób kierowania jednostką i komórkami organizacyjnymi przedsiębiorstwa podmiotu leczniczego</w:t>
      </w:r>
    </w:p>
    <w:p w14:paraId="6F84E62D" w14:textId="5F1FBAD4" w:rsidR="001D4CB1" w:rsidRPr="001D4CB1" w:rsidRDefault="00E16FF1" w:rsidP="001D4CB1">
      <w:pPr>
        <w:numPr>
          <w:ilvl w:val="0"/>
          <w:numId w:val="22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Podmiotem leczniczym </w:t>
      </w:r>
      <w:r w:rsidR="001D4CB1"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kieruje kierownik placówki i reprezentuje ją na zewnątrz. </w:t>
      </w:r>
    </w:p>
    <w:p w14:paraId="2DA6BEBB" w14:textId="77777777" w:rsidR="001D4CB1" w:rsidRPr="001D4CB1" w:rsidRDefault="001D4CB1" w:rsidP="001D4CB1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Do obowiązków i uprawnień kierownika należy:</w:t>
      </w:r>
    </w:p>
    <w:p w14:paraId="70EFD92F" w14:textId="77777777" w:rsidR="001D4CB1" w:rsidRPr="001D4CB1" w:rsidRDefault="001D4CB1" w:rsidP="001D4CB1">
      <w:pPr>
        <w:numPr>
          <w:ilvl w:val="1"/>
          <w:numId w:val="22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organizowanie i kierowanie pracą podległych pracowników</w:t>
      </w:r>
    </w:p>
    <w:p w14:paraId="3C6BC454" w14:textId="77777777" w:rsidR="001D4CB1" w:rsidRPr="001D4CB1" w:rsidRDefault="001D4CB1" w:rsidP="001D4CB1">
      <w:pPr>
        <w:numPr>
          <w:ilvl w:val="1"/>
          <w:numId w:val="22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zapewnienie racjonalnego wykorzystania czasu pracy oraz sprawowanie nadzoru nad przestrzeganiem dyscypliny podległych pracowników</w:t>
      </w:r>
    </w:p>
    <w:p w14:paraId="0D57A5DB" w14:textId="77777777" w:rsidR="001D4CB1" w:rsidRPr="001D4CB1" w:rsidRDefault="001D4CB1" w:rsidP="001D4CB1">
      <w:pPr>
        <w:numPr>
          <w:ilvl w:val="1"/>
          <w:numId w:val="22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podejmowanie decyzji w sprawach zatrudnienia, wynagrodzenia, premii , rozwiązywania umów cywilno-prawnych.</w:t>
      </w:r>
    </w:p>
    <w:p w14:paraId="76828624" w14:textId="77777777" w:rsidR="001D4CB1" w:rsidRPr="001D4CB1" w:rsidRDefault="001D4CB1" w:rsidP="001D4CB1">
      <w:pPr>
        <w:numPr>
          <w:ilvl w:val="1"/>
          <w:numId w:val="22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lastRenderedPageBreak/>
        <w:t>kontrolowanie przestrzegania przez pracowników i osoby udzielające świadczeń na podstawie umów innych niż umowa o pracę , przepisów bhp i przeciwpożarowych,</w:t>
      </w:r>
    </w:p>
    <w:p w14:paraId="08610D24" w14:textId="77777777" w:rsidR="001D4CB1" w:rsidRPr="001D4CB1" w:rsidRDefault="001D4CB1" w:rsidP="001D4CB1">
      <w:pPr>
        <w:numPr>
          <w:ilvl w:val="1"/>
          <w:numId w:val="22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przyjmowanie skarg i zażaleń oraz prowadzenie korespondencji z nimi związanej,,</w:t>
      </w:r>
    </w:p>
    <w:p w14:paraId="0E41CD83" w14:textId="5F4F3C3E" w:rsidR="001D4CB1" w:rsidRPr="001D4CB1" w:rsidRDefault="001D4CB1" w:rsidP="001D4CB1">
      <w:pPr>
        <w:numPr>
          <w:ilvl w:val="1"/>
          <w:numId w:val="22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wydawanie zarządzeń wewnętrznych regulujących bieżącą działalność </w:t>
      </w:r>
    </w:p>
    <w:p w14:paraId="0D75CD3F" w14:textId="77777777" w:rsidR="001D4CB1" w:rsidRPr="001D4CB1" w:rsidRDefault="001D4CB1" w:rsidP="001D4CB1">
      <w:pPr>
        <w:numPr>
          <w:ilvl w:val="1"/>
          <w:numId w:val="22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nadzór nad jakością udzielania świadczeń medycznych,</w:t>
      </w:r>
    </w:p>
    <w:p w14:paraId="7B4F9544" w14:textId="77777777" w:rsidR="001D4CB1" w:rsidRPr="001D4CB1" w:rsidRDefault="001D4CB1" w:rsidP="001D4CB1">
      <w:pPr>
        <w:numPr>
          <w:ilvl w:val="1"/>
          <w:numId w:val="22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zatwierdzanie harmonogramów pracy osób udzielających świadczeń medycznych,</w:t>
      </w:r>
    </w:p>
    <w:p w14:paraId="371E586D" w14:textId="77777777" w:rsidR="001D4CB1" w:rsidRPr="001D4CB1" w:rsidRDefault="001D4CB1" w:rsidP="001D4CB1">
      <w:pPr>
        <w:numPr>
          <w:ilvl w:val="1"/>
          <w:numId w:val="22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działanie na rzecz podnoszenia kwalifikacji zawodowych pracowników,</w:t>
      </w:r>
    </w:p>
    <w:p w14:paraId="223317DB" w14:textId="77777777" w:rsidR="001D4CB1" w:rsidRPr="001D4CB1" w:rsidRDefault="001D4CB1" w:rsidP="001D4CB1">
      <w:pPr>
        <w:numPr>
          <w:ilvl w:val="1"/>
          <w:numId w:val="22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nadzór nad gospodarką lekową,</w:t>
      </w:r>
    </w:p>
    <w:p w14:paraId="1D26E043" w14:textId="77777777" w:rsidR="001D4CB1" w:rsidRPr="001D4CB1" w:rsidRDefault="001D4CB1" w:rsidP="001D4CB1">
      <w:pPr>
        <w:numPr>
          <w:ilvl w:val="1"/>
          <w:numId w:val="22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nadzór nad utrzymaniem urządzeń, sprzętu, aparatury medycznej i zajmowanych pomieszczeń w należytym stanie technicznym z uwzględnieniem zasad bezpieczeństwa przeciwpożarowego oraz zasad bezpieczeństwa i higieny pracy,</w:t>
      </w:r>
    </w:p>
    <w:p w14:paraId="77762A8D" w14:textId="77777777" w:rsidR="001D4CB1" w:rsidRPr="001D4CB1" w:rsidRDefault="001D4CB1" w:rsidP="001D4CB1">
      <w:pPr>
        <w:numPr>
          <w:ilvl w:val="1"/>
          <w:numId w:val="22"/>
        </w:num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dbanie o udzielanie świadczeń medycznych wyłącznie przez personel o niezbędnych kwalifikacjach zawodowych</w:t>
      </w:r>
    </w:p>
    <w:p w14:paraId="0B4B569E" w14:textId="77777777" w:rsidR="001D4CB1" w:rsidRPr="001D4CB1" w:rsidRDefault="001D4CB1" w:rsidP="001D4CB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b/>
          <w:bCs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 XIII. Prawa i obowiązki Pacjenta</w:t>
      </w:r>
    </w:p>
    <w:p w14:paraId="64469462" w14:textId="7DC6FF92" w:rsidR="001D4CB1" w:rsidRPr="001D4CB1" w:rsidRDefault="001D4CB1" w:rsidP="001D4CB1">
      <w:pPr>
        <w:numPr>
          <w:ilvl w:val="0"/>
          <w:numId w:val="23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W czasie korzystania ze świadczeń medycznych pacjent ma prawo do:</w:t>
      </w:r>
    </w:p>
    <w:p w14:paraId="02B75B28" w14:textId="77777777" w:rsidR="001D4CB1" w:rsidRPr="001D4CB1" w:rsidRDefault="001D4CB1" w:rsidP="001D4CB1">
      <w:pPr>
        <w:numPr>
          <w:ilvl w:val="1"/>
          <w:numId w:val="23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poszanowania godności osobistej oraz uprzejmego traktowania przez personel medyczny</w:t>
      </w:r>
    </w:p>
    <w:p w14:paraId="4F30C20E" w14:textId="77777777" w:rsidR="001D4CB1" w:rsidRPr="001D4CB1" w:rsidRDefault="001D4CB1" w:rsidP="001D4CB1">
      <w:pPr>
        <w:numPr>
          <w:ilvl w:val="1"/>
          <w:numId w:val="23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świadczenia usług zdrowotnych przez personel o odpowiednich kwalifikacjach, zgodnie z wymaganiami wiedzy medycznej</w:t>
      </w:r>
    </w:p>
    <w:p w14:paraId="1C917998" w14:textId="77777777" w:rsidR="001D4CB1" w:rsidRPr="001D4CB1" w:rsidRDefault="001D4CB1" w:rsidP="001D4CB1">
      <w:pPr>
        <w:numPr>
          <w:ilvl w:val="1"/>
          <w:numId w:val="23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rzetelnej informacji o stanie zdrowia</w:t>
      </w:r>
    </w:p>
    <w:p w14:paraId="13F272EB" w14:textId="77777777" w:rsidR="001D4CB1" w:rsidRPr="001D4CB1" w:rsidRDefault="001D4CB1" w:rsidP="001D4CB1">
      <w:pPr>
        <w:numPr>
          <w:ilvl w:val="1"/>
          <w:numId w:val="23"/>
        </w:num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wyrażenia zgody na udzielanie określonych świadczeń zdrowotnych lub ich odmowy, po uzyskaniu informacji o proponowanych metodach diagnozy i leczenia</w:t>
      </w:r>
    </w:p>
    <w:p w14:paraId="572F6BC6" w14:textId="77777777" w:rsidR="001D4CB1" w:rsidRPr="001D4CB1" w:rsidRDefault="001D4CB1" w:rsidP="001D4CB1">
      <w:pPr>
        <w:numPr>
          <w:ilvl w:val="0"/>
          <w:numId w:val="23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Do obowiązków pacjenta należy:</w:t>
      </w:r>
    </w:p>
    <w:p w14:paraId="16B3F2CC" w14:textId="46AB5BFF" w:rsidR="001D4CB1" w:rsidRPr="001D4CB1" w:rsidRDefault="001D4CB1" w:rsidP="001D4CB1">
      <w:pPr>
        <w:numPr>
          <w:ilvl w:val="2"/>
          <w:numId w:val="23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przestrzeganie regulaminu porządkowego </w:t>
      </w:r>
    </w:p>
    <w:p w14:paraId="107649E3" w14:textId="4B5DAE0C" w:rsidR="001D4CB1" w:rsidRPr="001D4CB1" w:rsidRDefault="001D4CB1" w:rsidP="001D4CB1">
      <w:pPr>
        <w:numPr>
          <w:ilvl w:val="2"/>
          <w:numId w:val="23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przestrzeganie zakazu palenia tytoniu oraz spożywania alkoholu na terenie  </w:t>
      </w:r>
      <w:r w:rsidR="00E16FF1"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p</w:t>
      </w: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lacówki</w:t>
      </w:r>
      <w:r w:rsidR="00E16FF1"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 medycznej</w:t>
      </w:r>
    </w:p>
    <w:p w14:paraId="24FD51C6" w14:textId="77777777" w:rsidR="001D4CB1" w:rsidRPr="001D4CB1" w:rsidRDefault="001D4CB1" w:rsidP="001D4CB1">
      <w:pPr>
        <w:numPr>
          <w:ilvl w:val="2"/>
          <w:numId w:val="23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przestrzeganie higieny osobistej</w:t>
      </w:r>
    </w:p>
    <w:p w14:paraId="2536D746" w14:textId="77777777" w:rsidR="001D4CB1" w:rsidRPr="001D4CB1" w:rsidRDefault="001D4CB1" w:rsidP="001D4CB1">
      <w:pPr>
        <w:numPr>
          <w:ilvl w:val="2"/>
          <w:numId w:val="23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przestrzeganie zasad bezpieczeństwa oraz ppoż.</w:t>
      </w:r>
    </w:p>
    <w:p w14:paraId="43ED50B3" w14:textId="77777777" w:rsidR="001D4CB1" w:rsidRPr="001D4CB1" w:rsidRDefault="001D4CB1" w:rsidP="001D4CB1">
      <w:pPr>
        <w:numPr>
          <w:ilvl w:val="2"/>
          <w:numId w:val="23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przestrzeganie zaleceń lekarza</w:t>
      </w:r>
    </w:p>
    <w:p w14:paraId="023DCCAE" w14:textId="77777777" w:rsidR="001D4CB1" w:rsidRPr="001D4CB1" w:rsidRDefault="001D4CB1" w:rsidP="001D4CB1">
      <w:pPr>
        <w:numPr>
          <w:ilvl w:val="2"/>
          <w:numId w:val="23"/>
        </w:num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odwoływanie wizyt z należytym wyprzedzeniem (min 12 h przed planowaną wizytą)</w:t>
      </w:r>
    </w:p>
    <w:p w14:paraId="17E1E709" w14:textId="77777777" w:rsidR="001D4CB1" w:rsidRPr="001D4CB1" w:rsidRDefault="001D4CB1" w:rsidP="001D4CB1">
      <w:pPr>
        <w:numPr>
          <w:ilvl w:val="0"/>
          <w:numId w:val="23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Pacjent ma prawo do natychmiastowego uzyskania świadczeń zdrowotnych ze względu na zagrożenie zdrowia lub życia.</w:t>
      </w:r>
    </w:p>
    <w:p w14:paraId="5069041C" w14:textId="77777777" w:rsidR="001D4CB1" w:rsidRPr="001D4CB1" w:rsidRDefault="001D4CB1" w:rsidP="001D4CB1">
      <w:pPr>
        <w:numPr>
          <w:ilvl w:val="0"/>
          <w:numId w:val="23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Świadczenia na rzecz pacjentów są wykonywane przez personel posiadający odpowiednie kwalifikacje i uprawnienia określone w odrębnych przepisach.</w:t>
      </w:r>
    </w:p>
    <w:p w14:paraId="67CF8DB8" w14:textId="77777777" w:rsidR="001D4CB1" w:rsidRPr="001D4CB1" w:rsidRDefault="001D4CB1" w:rsidP="001D4CB1">
      <w:pPr>
        <w:numPr>
          <w:ilvl w:val="0"/>
          <w:numId w:val="23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Świadczenia zdrowotne udzielane są pacjentom zgodnie z wymaganiami aktualnej wiedzy medycznej.</w:t>
      </w:r>
    </w:p>
    <w:p w14:paraId="207CCD19" w14:textId="77777777" w:rsidR="001D4CB1" w:rsidRPr="001D4CB1" w:rsidRDefault="001D4CB1" w:rsidP="001D4CB1">
      <w:pPr>
        <w:numPr>
          <w:ilvl w:val="0"/>
          <w:numId w:val="23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Świadczenia zdrowotne udzielane są pacjentowi z należytą starannością, w warunkach odpowiadających obowiązującym w tym zakresie wymaganiom fachowym i sanitarnym.</w:t>
      </w:r>
    </w:p>
    <w:p w14:paraId="6ED4F838" w14:textId="77777777" w:rsidR="001D4CB1" w:rsidRPr="001D4CB1" w:rsidRDefault="001D4CB1" w:rsidP="001D4CB1">
      <w:pPr>
        <w:numPr>
          <w:ilvl w:val="0"/>
          <w:numId w:val="23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Osoby udzielające pacjentowi świadczeń zdrowotnych kierują się zasadami etyki zawodowej określonymi przez właściwe samorządy zawodów medycznych.</w:t>
      </w:r>
    </w:p>
    <w:p w14:paraId="7B4368C3" w14:textId="77777777" w:rsidR="001D4CB1" w:rsidRPr="001D4CB1" w:rsidRDefault="001D4CB1" w:rsidP="001D4CB1">
      <w:pPr>
        <w:numPr>
          <w:ilvl w:val="0"/>
          <w:numId w:val="23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Świadczenia zdrowotne są organizowane w sposób zapewniający pacjentom najdogodniejszą formę korzystania ze świadczeń.</w:t>
      </w:r>
    </w:p>
    <w:p w14:paraId="6416FABF" w14:textId="77777777" w:rsidR="001D4CB1" w:rsidRPr="001D4CB1" w:rsidRDefault="001D4CB1" w:rsidP="001D4CB1">
      <w:pPr>
        <w:numPr>
          <w:ilvl w:val="0"/>
          <w:numId w:val="23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lastRenderedPageBreak/>
        <w:t>Orzeczenia lekarskie dotyczące stanu zdrowia pacjentów wydawane są zgodnie z regulacjami ustawy z dnia 5 grudnia 1996 r. o zawodach lekarza i lekarza dentysty.</w:t>
      </w:r>
    </w:p>
    <w:p w14:paraId="609E5F9B" w14:textId="63EAEC91" w:rsidR="001D4CB1" w:rsidRPr="001D4CB1" w:rsidRDefault="001D4CB1" w:rsidP="001D4CB1">
      <w:pPr>
        <w:numPr>
          <w:ilvl w:val="0"/>
          <w:numId w:val="23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Pacjent, którego prawa zostały naruszone w trakcie korzystania ze świadczeń medycznych w ma prawo do złożenia ustnej lub pisemnej skargi do kierownika zakładu.</w:t>
      </w:r>
    </w:p>
    <w:p w14:paraId="36C69E91" w14:textId="77777777" w:rsidR="001D4CB1" w:rsidRPr="001D4CB1" w:rsidRDefault="001D4CB1" w:rsidP="001D4CB1">
      <w:pPr>
        <w:numPr>
          <w:ilvl w:val="0"/>
          <w:numId w:val="23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Pacjenci mają prawo zgłaszania uwag, wniosków i skarg osobom udzielającym im świadczeń zdrowotnych jak i bezpośrednio kierować je do kierownika placówki. Na życzenie pacjenta udzielana jest mu odpowiedź na piśmie.</w:t>
      </w:r>
    </w:p>
    <w:p w14:paraId="3DF8B547" w14:textId="77777777" w:rsidR="001D4CB1" w:rsidRPr="001D4CB1" w:rsidRDefault="001D4CB1" w:rsidP="001D4CB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b/>
          <w:bCs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XIV. Postanowienia końcowe</w:t>
      </w:r>
    </w:p>
    <w:p w14:paraId="3E651292" w14:textId="77777777" w:rsidR="001D4CB1" w:rsidRPr="001D4CB1" w:rsidRDefault="001D4CB1" w:rsidP="001D4CB1">
      <w:pPr>
        <w:numPr>
          <w:ilvl w:val="0"/>
          <w:numId w:val="25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W sprawach nieuregulowanych regulaminem organizacyjnym zastosowanie mają odrębne przepisy.</w:t>
      </w:r>
    </w:p>
    <w:p w14:paraId="46863704" w14:textId="5883F4EE" w:rsidR="001D4CB1" w:rsidRPr="001D4CB1" w:rsidRDefault="001D4CB1" w:rsidP="001D4CB1">
      <w:pPr>
        <w:numPr>
          <w:ilvl w:val="0"/>
          <w:numId w:val="25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Podanie regulaminu do wiadomości pacjentów następuje poprzez udostępnienie go na wniosek pacjenta w Rejestracji</w:t>
      </w:r>
      <w:r w:rsidR="00E16FF1"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 i publikację na stronie internetowej zakładu leczniczego</w:t>
      </w: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.</w:t>
      </w:r>
    </w:p>
    <w:p w14:paraId="0BE9667D" w14:textId="6A870CCE" w:rsidR="001D4CB1" w:rsidRPr="001D4CB1" w:rsidRDefault="001D4CB1" w:rsidP="001D4CB1">
      <w:pPr>
        <w:numPr>
          <w:ilvl w:val="0"/>
          <w:numId w:val="25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</w:pP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Regulamin wchodzi w życie z dniem</w:t>
      </w:r>
      <w:r w:rsidR="00E16FF1" w:rsidRPr="00E16FF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 xml:space="preserve"> 01.07.2023</w:t>
      </w:r>
      <w:r w:rsidRPr="001D4CB1">
        <w:rPr>
          <w:rFonts w:asciiTheme="majorHAnsi" w:eastAsia="Times New Roman" w:hAnsiTheme="majorHAnsi" w:cstheme="majorHAnsi"/>
          <w:kern w:val="0"/>
          <w:sz w:val="21"/>
          <w:szCs w:val="21"/>
          <w:lang w:eastAsia="pl-PL"/>
          <w14:ligatures w14:val="none"/>
        </w:rPr>
        <w:t>.</w:t>
      </w:r>
    </w:p>
    <w:p w14:paraId="4766F318" w14:textId="77777777" w:rsidR="00A265BE" w:rsidRPr="00E16FF1" w:rsidRDefault="00A265BE">
      <w:pPr>
        <w:rPr>
          <w:rFonts w:asciiTheme="majorHAnsi" w:hAnsiTheme="majorHAnsi" w:cstheme="majorHAnsi"/>
        </w:rPr>
      </w:pPr>
    </w:p>
    <w:sectPr w:rsidR="00A265BE" w:rsidRPr="00E16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1EA6"/>
    <w:multiLevelType w:val="multilevel"/>
    <w:tmpl w:val="DE446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11A57"/>
    <w:multiLevelType w:val="multilevel"/>
    <w:tmpl w:val="677A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53AD2"/>
    <w:multiLevelType w:val="multilevel"/>
    <w:tmpl w:val="98580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D5624"/>
    <w:multiLevelType w:val="multilevel"/>
    <w:tmpl w:val="E0A82A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66527"/>
    <w:multiLevelType w:val="multilevel"/>
    <w:tmpl w:val="B6D4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5020FC"/>
    <w:multiLevelType w:val="multilevel"/>
    <w:tmpl w:val="15DA9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BE7E4C"/>
    <w:multiLevelType w:val="multilevel"/>
    <w:tmpl w:val="02D0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296702"/>
    <w:multiLevelType w:val="multilevel"/>
    <w:tmpl w:val="17046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EA4F5D"/>
    <w:multiLevelType w:val="multilevel"/>
    <w:tmpl w:val="C45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EB5425"/>
    <w:multiLevelType w:val="hybridMultilevel"/>
    <w:tmpl w:val="F2927DEA"/>
    <w:lvl w:ilvl="0" w:tplc="8B92CE90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1345A"/>
    <w:multiLevelType w:val="multilevel"/>
    <w:tmpl w:val="5676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1257F7"/>
    <w:multiLevelType w:val="multilevel"/>
    <w:tmpl w:val="D6B0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300558"/>
    <w:multiLevelType w:val="multilevel"/>
    <w:tmpl w:val="68AA9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276F40"/>
    <w:multiLevelType w:val="multilevel"/>
    <w:tmpl w:val="5F4E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AF51B8"/>
    <w:multiLevelType w:val="multilevel"/>
    <w:tmpl w:val="A984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3F3241"/>
    <w:multiLevelType w:val="multilevel"/>
    <w:tmpl w:val="48F0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27565B"/>
    <w:multiLevelType w:val="multilevel"/>
    <w:tmpl w:val="3A10E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F552A2"/>
    <w:multiLevelType w:val="multilevel"/>
    <w:tmpl w:val="AE36F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0E5019"/>
    <w:multiLevelType w:val="multilevel"/>
    <w:tmpl w:val="2696A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5D42E4"/>
    <w:multiLevelType w:val="multilevel"/>
    <w:tmpl w:val="B4023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6B590D"/>
    <w:multiLevelType w:val="multilevel"/>
    <w:tmpl w:val="1A34A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0B43AF"/>
    <w:multiLevelType w:val="multilevel"/>
    <w:tmpl w:val="A36C1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1676A5"/>
    <w:multiLevelType w:val="multilevel"/>
    <w:tmpl w:val="B668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C23366"/>
    <w:multiLevelType w:val="multilevel"/>
    <w:tmpl w:val="391AE5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CB41C6"/>
    <w:multiLevelType w:val="multilevel"/>
    <w:tmpl w:val="0A34C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056B87"/>
    <w:multiLevelType w:val="multilevel"/>
    <w:tmpl w:val="D6728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6421448">
    <w:abstractNumId w:val="24"/>
  </w:num>
  <w:num w:numId="2" w16cid:durableId="940724396">
    <w:abstractNumId w:val="10"/>
  </w:num>
  <w:num w:numId="3" w16cid:durableId="793865357">
    <w:abstractNumId w:val="20"/>
  </w:num>
  <w:num w:numId="4" w16cid:durableId="547912980">
    <w:abstractNumId w:val="0"/>
  </w:num>
  <w:num w:numId="5" w16cid:durableId="749930457">
    <w:abstractNumId w:val="19"/>
  </w:num>
  <w:num w:numId="6" w16cid:durableId="1333412535">
    <w:abstractNumId w:val="14"/>
  </w:num>
  <w:num w:numId="7" w16cid:durableId="745538445">
    <w:abstractNumId w:val="18"/>
  </w:num>
  <w:num w:numId="8" w16cid:durableId="1425418000">
    <w:abstractNumId w:val="17"/>
  </w:num>
  <w:num w:numId="9" w16cid:durableId="1501193042">
    <w:abstractNumId w:val="11"/>
  </w:num>
  <w:num w:numId="10" w16cid:durableId="106507783">
    <w:abstractNumId w:val="23"/>
  </w:num>
  <w:num w:numId="11" w16cid:durableId="258024793">
    <w:abstractNumId w:val="4"/>
  </w:num>
  <w:num w:numId="12" w16cid:durableId="2001303812">
    <w:abstractNumId w:val="3"/>
  </w:num>
  <w:num w:numId="13" w16cid:durableId="1769233165">
    <w:abstractNumId w:val="25"/>
  </w:num>
  <w:num w:numId="14" w16cid:durableId="1470905054">
    <w:abstractNumId w:val="12"/>
  </w:num>
  <w:num w:numId="15" w16cid:durableId="484710091">
    <w:abstractNumId w:val="21"/>
  </w:num>
  <w:num w:numId="16" w16cid:durableId="239365256">
    <w:abstractNumId w:val="15"/>
  </w:num>
  <w:num w:numId="17" w16cid:durableId="2034914303">
    <w:abstractNumId w:val="5"/>
  </w:num>
  <w:num w:numId="18" w16cid:durableId="756831027">
    <w:abstractNumId w:val="13"/>
  </w:num>
  <w:num w:numId="19" w16cid:durableId="366413668">
    <w:abstractNumId w:val="2"/>
  </w:num>
  <w:num w:numId="20" w16cid:durableId="692725083">
    <w:abstractNumId w:val="8"/>
  </w:num>
  <w:num w:numId="21" w16cid:durableId="1226835518">
    <w:abstractNumId w:val="7"/>
  </w:num>
  <w:num w:numId="22" w16cid:durableId="996879824">
    <w:abstractNumId w:val="1"/>
  </w:num>
  <w:num w:numId="23" w16cid:durableId="1013530030">
    <w:abstractNumId w:val="22"/>
  </w:num>
  <w:num w:numId="24" w16cid:durableId="1871870730">
    <w:abstractNumId w:val="6"/>
  </w:num>
  <w:num w:numId="25" w16cid:durableId="225579124">
    <w:abstractNumId w:val="16"/>
  </w:num>
  <w:num w:numId="26" w16cid:durableId="13548406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26"/>
    <w:rsid w:val="00071FCC"/>
    <w:rsid w:val="001D4CB1"/>
    <w:rsid w:val="00883F26"/>
    <w:rsid w:val="009938E9"/>
    <w:rsid w:val="00A265BE"/>
    <w:rsid w:val="00CE4FCA"/>
    <w:rsid w:val="00DF7BBA"/>
    <w:rsid w:val="00E1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BA25"/>
  <w15:chartTrackingRefBased/>
  <w15:docId w15:val="{6203DE02-C348-452B-9A69-1D7D231C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1D4CB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D4CB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93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2019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PikuĹ‚a</dc:creator>
  <cp:keywords/>
  <dc:description/>
  <cp:lastModifiedBy>Maciej PikuĹ‚a</cp:lastModifiedBy>
  <cp:revision>2</cp:revision>
  <cp:lastPrinted>2023-07-13T09:15:00Z</cp:lastPrinted>
  <dcterms:created xsi:type="dcterms:W3CDTF">2023-07-13T09:16:00Z</dcterms:created>
  <dcterms:modified xsi:type="dcterms:W3CDTF">2023-07-13T09:16:00Z</dcterms:modified>
</cp:coreProperties>
</file>